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FD" w:rsidRPr="00300702" w:rsidRDefault="004241FD" w:rsidP="00424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00702">
        <w:rPr>
          <w:rFonts w:ascii="Times New Roman" w:hAnsi="Times New Roman"/>
          <w:b/>
          <w:sz w:val="28"/>
          <w:szCs w:val="28"/>
        </w:rPr>
        <w:t xml:space="preserve">езультаты диагностики в </w:t>
      </w:r>
      <w:r w:rsidR="00306BEE">
        <w:rPr>
          <w:rFonts w:ascii="Times New Roman" w:hAnsi="Times New Roman"/>
          <w:b/>
          <w:sz w:val="28"/>
          <w:szCs w:val="28"/>
        </w:rPr>
        <w:t>подготовительной</w:t>
      </w:r>
      <w:r w:rsidRPr="00300702">
        <w:rPr>
          <w:rFonts w:ascii="Times New Roman" w:hAnsi="Times New Roman"/>
          <w:b/>
          <w:sz w:val="28"/>
          <w:szCs w:val="28"/>
        </w:rPr>
        <w:t xml:space="preserve"> группе, </w:t>
      </w:r>
    </w:p>
    <w:p w:rsidR="004241FD" w:rsidRPr="00300702" w:rsidRDefault="004241FD" w:rsidP="00424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</w:t>
      </w:r>
      <w:r w:rsidRPr="00300702">
        <w:rPr>
          <w:rFonts w:ascii="Times New Roman" w:hAnsi="Times New Roman"/>
          <w:b/>
          <w:sz w:val="28"/>
          <w:szCs w:val="28"/>
        </w:rPr>
        <w:t>ябрь 201</w:t>
      </w:r>
      <w:r w:rsidR="00FB17BA">
        <w:rPr>
          <w:rFonts w:ascii="Times New Roman" w:hAnsi="Times New Roman"/>
          <w:b/>
          <w:sz w:val="28"/>
          <w:szCs w:val="28"/>
        </w:rPr>
        <w:t>9</w:t>
      </w:r>
      <w:r w:rsidRPr="00300702">
        <w:rPr>
          <w:rFonts w:ascii="Times New Roman" w:hAnsi="Times New Roman"/>
          <w:b/>
          <w:sz w:val="28"/>
          <w:szCs w:val="28"/>
        </w:rPr>
        <w:t xml:space="preserve"> г.- ма</w:t>
      </w:r>
      <w:r>
        <w:rPr>
          <w:rFonts w:ascii="Times New Roman" w:hAnsi="Times New Roman"/>
          <w:b/>
          <w:sz w:val="28"/>
          <w:szCs w:val="28"/>
        </w:rPr>
        <w:t>й</w:t>
      </w:r>
      <w:r w:rsidRPr="00300702">
        <w:rPr>
          <w:rFonts w:ascii="Times New Roman" w:hAnsi="Times New Roman"/>
          <w:b/>
          <w:sz w:val="28"/>
          <w:szCs w:val="28"/>
        </w:rPr>
        <w:t xml:space="preserve"> 20</w:t>
      </w:r>
      <w:r w:rsidR="00FB17BA">
        <w:rPr>
          <w:rFonts w:ascii="Times New Roman" w:hAnsi="Times New Roman"/>
          <w:b/>
          <w:sz w:val="28"/>
          <w:szCs w:val="28"/>
        </w:rPr>
        <w:t>20</w:t>
      </w:r>
      <w:r w:rsidRPr="00300702">
        <w:rPr>
          <w:rFonts w:ascii="Times New Roman" w:hAnsi="Times New Roman"/>
          <w:b/>
          <w:sz w:val="28"/>
          <w:szCs w:val="28"/>
        </w:rPr>
        <w:t xml:space="preserve"> г.</w:t>
      </w:r>
    </w:p>
    <w:p w:rsidR="004241FD" w:rsidRPr="00300702" w:rsidRDefault="004241FD" w:rsidP="004241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41FD" w:rsidRPr="00300702" w:rsidRDefault="004241FD" w:rsidP="00424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070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228A6">
        <w:rPr>
          <w:rFonts w:ascii="Times New Roman" w:hAnsi="Times New Roman"/>
          <w:sz w:val="28"/>
          <w:szCs w:val="28"/>
        </w:rPr>
        <w:t xml:space="preserve">Юмаева </w:t>
      </w:r>
      <w:proofErr w:type="spellStart"/>
      <w:r w:rsidR="005228A6">
        <w:rPr>
          <w:rFonts w:ascii="Times New Roman" w:hAnsi="Times New Roman"/>
          <w:sz w:val="28"/>
          <w:szCs w:val="28"/>
        </w:rPr>
        <w:t>Рушания</w:t>
      </w:r>
      <w:proofErr w:type="spellEnd"/>
      <w:r w:rsidR="005228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8A6">
        <w:rPr>
          <w:rFonts w:ascii="Times New Roman" w:hAnsi="Times New Roman"/>
          <w:sz w:val="28"/>
          <w:szCs w:val="28"/>
        </w:rPr>
        <w:t>Саитовна</w:t>
      </w:r>
      <w:proofErr w:type="spellEnd"/>
      <w:r w:rsidR="005228A6">
        <w:rPr>
          <w:rFonts w:ascii="Times New Roman" w:hAnsi="Times New Roman"/>
          <w:sz w:val="28"/>
          <w:szCs w:val="28"/>
        </w:rPr>
        <w:t xml:space="preserve"> </w:t>
      </w:r>
    </w:p>
    <w:p w:rsidR="004241FD" w:rsidRPr="00300702" w:rsidRDefault="004241FD" w:rsidP="00424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070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228A6">
        <w:rPr>
          <w:rFonts w:ascii="Times New Roman" w:hAnsi="Times New Roman"/>
          <w:sz w:val="28"/>
          <w:szCs w:val="28"/>
        </w:rPr>
        <w:t>Лысак Евгения Анатольевна</w:t>
      </w:r>
    </w:p>
    <w:p w:rsidR="004241FD" w:rsidRPr="00300702" w:rsidRDefault="004241FD" w:rsidP="00424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1FD" w:rsidRPr="00300702" w:rsidRDefault="004241FD" w:rsidP="00424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0702">
        <w:rPr>
          <w:rFonts w:ascii="Times New Roman" w:hAnsi="Times New Roman"/>
          <w:b/>
          <w:sz w:val="28"/>
          <w:szCs w:val="28"/>
        </w:rPr>
        <w:t>высокий</w:t>
      </w:r>
      <w:r w:rsidRPr="00300702">
        <w:rPr>
          <w:rFonts w:ascii="Times New Roman" w:hAnsi="Times New Roman"/>
          <w:sz w:val="28"/>
          <w:szCs w:val="28"/>
        </w:rPr>
        <w:t xml:space="preserve"> – задание ребенок выполняет самостоятельно.</w:t>
      </w:r>
    </w:p>
    <w:p w:rsidR="004241FD" w:rsidRPr="00300702" w:rsidRDefault="004241FD" w:rsidP="00424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0702">
        <w:rPr>
          <w:rFonts w:ascii="Times New Roman" w:hAnsi="Times New Roman"/>
          <w:b/>
          <w:sz w:val="28"/>
          <w:szCs w:val="28"/>
        </w:rPr>
        <w:t>средний</w:t>
      </w:r>
      <w:r w:rsidRPr="00300702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00702">
        <w:rPr>
          <w:rFonts w:ascii="Times New Roman" w:hAnsi="Times New Roman"/>
          <w:sz w:val="28"/>
          <w:szCs w:val="28"/>
        </w:rPr>
        <w:t xml:space="preserve">с </w:t>
      </w:r>
      <w:proofErr w:type="gramEnd"/>
      <w:r w:rsidRPr="00300702">
        <w:rPr>
          <w:rFonts w:ascii="Times New Roman" w:hAnsi="Times New Roman"/>
          <w:sz w:val="28"/>
          <w:szCs w:val="28"/>
        </w:rPr>
        <w:t>заданием  справляется самостоятельно, нуждается в напоминании и помощи воспитателей.</w:t>
      </w:r>
    </w:p>
    <w:p w:rsidR="004241FD" w:rsidRPr="00300702" w:rsidRDefault="004241FD" w:rsidP="00424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0702">
        <w:rPr>
          <w:rFonts w:ascii="Times New Roman" w:hAnsi="Times New Roman"/>
          <w:b/>
          <w:sz w:val="28"/>
          <w:szCs w:val="28"/>
        </w:rPr>
        <w:t>низкий</w:t>
      </w:r>
      <w:r w:rsidRPr="00300702">
        <w:rPr>
          <w:rFonts w:ascii="Times New Roman" w:hAnsi="Times New Roman"/>
          <w:sz w:val="28"/>
          <w:szCs w:val="28"/>
        </w:rPr>
        <w:t xml:space="preserve"> – с заданием ребенок не справляется.</w:t>
      </w:r>
      <w:bookmarkStart w:id="0" w:name="_GoBack"/>
      <w:bookmarkEnd w:id="0"/>
    </w:p>
    <w:p w:rsidR="004241FD" w:rsidRPr="00300702" w:rsidRDefault="004241FD" w:rsidP="004241FD">
      <w:pPr>
        <w:rPr>
          <w:rFonts w:ascii="Times New Roman" w:hAnsi="Times New Roman"/>
          <w:sz w:val="28"/>
          <w:szCs w:val="28"/>
        </w:rPr>
      </w:pPr>
    </w:p>
    <w:p w:rsidR="004241FD" w:rsidRDefault="004241FD" w:rsidP="004241F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0702">
        <w:rPr>
          <w:rFonts w:ascii="Times New Roman" w:hAnsi="Times New Roman"/>
          <w:b/>
          <w:sz w:val="28"/>
          <w:szCs w:val="28"/>
        </w:rPr>
        <w:t>Образовательные области</w:t>
      </w:r>
    </w:p>
    <w:p w:rsidR="00F516F1" w:rsidRDefault="00F2280F" w:rsidP="004241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616835" cy="2038985"/>
            <wp:effectExtent l="19050" t="0" r="12065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3057F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795905" cy="2038985"/>
            <wp:effectExtent l="19050" t="0" r="23495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57F5" w:rsidRDefault="00F516F1" w:rsidP="00F516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228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680335" cy="2564765"/>
            <wp:effectExtent l="19050" t="0" r="24765" b="6985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F228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827020" cy="2512060"/>
            <wp:effectExtent l="19050" t="0" r="11430" b="254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16F1" w:rsidRDefault="00F516F1" w:rsidP="00F516F1">
      <w:pPr>
        <w:rPr>
          <w:rFonts w:ascii="Times New Roman" w:hAnsi="Times New Roman"/>
          <w:b/>
          <w:sz w:val="28"/>
          <w:szCs w:val="28"/>
        </w:rPr>
      </w:pPr>
    </w:p>
    <w:p w:rsidR="00F516F1" w:rsidRPr="003057F5" w:rsidRDefault="00F2280F" w:rsidP="00F516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921635" cy="2186305"/>
            <wp:effectExtent l="19050" t="0" r="12065" b="4445"/>
            <wp:docPr id="5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C712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153410" cy="2175510"/>
            <wp:effectExtent l="19050" t="0" r="27940" b="0"/>
            <wp:docPr id="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08AE" w:rsidRDefault="00F2280F" w:rsidP="004241F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932430" cy="2470150"/>
            <wp:effectExtent l="19050" t="0" r="20320" b="6350"/>
            <wp:docPr id="7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C7128">
        <w:rPr>
          <w:szCs w:val="24"/>
        </w:rPr>
        <w:t xml:space="preserve">  </w:t>
      </w:r>
      <w:r w:rsidR="00B13BF6">
        <w:rPr>
          <w:szCs w:val="24"/>
        </w:rPr>
        <w:t xml:space="preserve">   </w:t>
      </w:r>
      <w:r>
        <w:rPr>
          <w:noProof/>
          <w:szCs w:val="24"/>
        </w:rPr>
        <w:drawing>
          <wp:inline distT="0" distB="0" distL="0" distR="0">
            <wp:extent cx="3048000" cy="2480310"/>
            <wp:effectExtent l="19050" t="0" r="19050" b="0"/>
            <wp:docPr id="8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3BF6" w:rsidRDefault="00B13BF6" w:rsidP="004241FD">
      <w:pPr>
        <w:rPr>
          <w:szCs w:val="24"/>
        </w:rPr>
      </w:pPr>
    </w:p>
    <w:p w:rsidR="00B13BF6" w:rsidRPr="004241FD" w:rsidRDefault="00F2280F" w:rsidP="004241F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974340" cy="2616835"/>
            <wp:effectExtent l="19050" t="0" r="16510" b="0"/>
            <wp:docPr id="9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13BF6">
        <w:rPr>
          <w:szCs w:val="24"/>
        </w:rPr>
        <w:t xml:space="preserve">   </w:t>
      </w:r>
      <w:r>
        <w:rPr>
          <w:noProof/>
          <w:szCs w:val="24"/>
        </w:rPr>
        <w:drawing>
          <wp:inline distT="0" distB="0" distL="0" distR="0">
            <wp:extent cx="2932430" cy="2616835"/>
            <wp:effectExtent l="19050" t="0" r="20320" b="0"/>
            <wp:docPr id="10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B13BF6" w:rsidRPr="004241FD" w:rsidSect="00821FD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00470"/>
    <w:rsid w:val="00000FB4"/>
    <w:rsid w:val="00067525"/>
    <w:rsid w:val="000942E5"/>
    <w:rsid w:val="000A08AE"/>
    <w:rsid w:val="001474A2"/>
    <w:rsid w:val="001B101D"/>
    <w:rsid w:val="003057F5"/>
    <w:rsid w:val="00306BEE"/>
    <w:rsid w:val="003D2995"/>
    <w:rsid w:val="004241FD"/>
    <w:rsid w:val="00441B22"/>
    <w:rsid w:val="004C0358"/>
    <w:rsid w:val="00513E6F"/>
    <w:rsid w:val="005228A6"/>
    <w:rsid w:val="00535184"/>
    <w:rsid w:val="005B052B"/>
    <w:rsid w:val="005B1231"/>
    <w:rsid w:val="006B0A48"/>
    <w:rsid w:val="00711973"/>
    <w:rsid w:val="007129CE"/>
    <w:rsid w:val="00756A13"/>
    <w:rsid w:val="007F116F"/>
    <w:rsid w:val="007F1300"/>
    <w:rsid w:val="00804B1D"/>
    <w:rsid w:val="008170D2"/>
    <w:rsid w:val="00821FDA"/>
    <w:rsid w:val="008E31EA"/>
    <w:rsid w:val="009356CD"/>
    <w:rsid w:val="009711B7"/>
    <w:rsid w:val="00993C50"/>
    <w:rsid w:val="009E1606"/>
    <w:rsid w:val="009F70AD"/>
    <w:rsid w:val="00A55076"/>
    <w:rsid w:val="00AC7128"/>
    <w:rsid w:val="00B02C87"/>
    <w:rsid w:val="00B13BF6"/>
    <w:rsid w:val="00B14FCF"/>
    <w:rsid w:val="00BE2316"/>
    <w:rsid w:val="00BE29E1"/>
    <w:rsid w:val="00C00470"/>
    <w:rsid w:val="00D14B7A"/>
    <w:rsid w:val="00DD5CD6"/>
    <w:rsid w:val="00E82E83"/>
    <w:rsid w:val="00E91AD4"/>
    <w:rsid w:val="00EC5EA5"/>
    <w:rsid w:val="00EF0B93"/>
    <w:rsid w:val="00F2280F"/>
    <w:rsid w:val="00F516F1"/>
    <w:rsid w:val="00FB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8">
                <a:latin typeface="Times New Roman" pitchFamily="18" charset="0"/>
                <a:cs typeface="Times New Roman" pitchFamily="18" charset="0"/>
              </a:rPr>
              <a:t>1.Здоровье ноябрь 2019 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1.Здоровье ноябрь 2018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76</c:v>
                </c:pt>
                <c:pt idx="1">
                  <c:v>35</c:v>
                </c:pt>
                <c:pt idx="2">
                  <c:v>4</c:v>
                </c:pt>
              </c:numCache>
            </c:numRef>
          </c:val>
        </c:ser>
        <c:firstSliceAng val="0"/>
      </c:pieChart>
      <c:spPr>
        <a:noFill/>
        <a:ln w="25355">
          <a:noFill/>
        </a:ln>
      </c:spPr>
    </c:plotArea>
    <c:legend>
      <c:legendPos val="t"/>
    </c:legend>
    <c:plotVisOnly val="1"/>
    <c:dispBlanksAs val="zero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май 2020 г</a:t>
            </a:r>
            <a:r>
              <a:rPr lang="ru-RU"/>
              <a:t>.</a:t>
            </a:r>
          </a:p>
        </c:rich>
      </c:tx>
    </c:title>
    <c:plotArea>
      <c:layout>
        <c:manualLayout>
          <c:layoutTarget val="inner"/>
          <c:xMode val="edge"/>
          <c:yMode val="edge"/>
          <c:x val="0.2282564158646837"/>
          <c:y val="0.2134486314210729"/>
          <c:w val="0.47085812393895593"/>
          <c:h val="0.526671043437532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76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май 2020 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1.Здоровье, май 2019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86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noFill/>
        <a:ln w="25410">
          <a:noFill/>
        </a:ln>
      </c:spPr>
    </c:plotArea>
    <c:legend>
      <c:legendPos val="t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8">
                <a:latin typeface="Times New Roman" pitchFamily="18" charset="0"/>
                <a:cs typeface="Times New Roman" pitchFamily="18" charset="0"/>
              </a:rPr>
              <a:t>3.Социально-коммуникативное развитие, ноябрь 2019 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3.Социально-коммуникативное развимтие, ноябрь 2018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52</c:v>
                </c:pt>
                <c:pt idx="1">
                  <c:v>41</c:v>
                </c:pt>
                <c:pt idx="2">
                  <c:v>7</c:v>
                </c:pt>
              </c:numCache>
            </c:numRef>
          </c:val>
        </c:ser>
        <c:firstSliceAng val="0"/>
      </c:pieChart>
      <c:spPr>
        <a:noFill/>
        <a:ln w="25350">
          <a:noFill/>
        </a:ln>
      </c:spPr>
    </c:plotArea>
    <c:legend>
      <c:legendPos val="t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>
                <a:latin typeface="Times New Roman" pitchFamily="18" charset="0"/>
                <a:cs typeface="Times New Roman" pitchFamily="18" charset="0"/>
              </a:rPr>
              <a:t>май 2020 г</a:t>
            </a:r>
            <a:r>
              <a:rPr lang="ru-RU"/>
              <a:t>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3.Социально-коммуникативное развитие, май 2019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84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noFill/>
        <a:ln w="25377">
          <a:noFill/>
        </a:ln>
      </c:spPr>
    </c:plotArea>
    <c:legend>
      <c:legendPos val="t"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8">
                <a:latin typeface="Times New Roman" pitchFamily="18" charset="0"/>
                <a:cs typeface="Times New Roman" pitchFamily="18" charset="0"/>
              </a:rPr>
              <a:t>6.Познавательное развитие, ноябрь 2019 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6.Познавательное развитие, ноябрь 2018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48</c:v>
                </c:pt>
                <c:pt idx="1">
                  <c:v>46</c:v>
                </c:pt>
                <c:pt idx="2">
                  <c:v>6</c:v>
                </c:pt>
              </c:numCache>
            </c:numRef>
          </c:val>
        </c:ser>
        <c:firstSliceAng val="0"/>
      </c:pieChart>
      <c:spPr>
        <a:noFill/>
        <a:ln w="25359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>
                <a:latin typeface="Times New Roman" pitchFamily="18" charset="0"/>
                <a:cs typeface="Times New Roman" pitchFamily="18" charset="0"/>
              </a:rPr>
              <a:t>май 2020 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79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</c:ser>
        <c:firstSliceAng val="0"/>
      </c:pieChart>
      <c:spPr>
        <a:noFill/>
        <a:ln w="25389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8.Речевое развитие,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ноябрь 2019 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8.Речевое развитие, ноябрь 2018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53</c:v>
                </c:pt>
                <c:pt idx="1">
                  <c:v>40</c:v>
                </c:pt>
                <c:pt idx="2">
                  <c:v>8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май 2020г.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2019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73</c:v>
                </c:pt>
                <c:pt idx="1">
                  <c:v>24</c:v>
                </c:pt>
                <c:pt idx="2">
                  <c:v>3</c:v>
                </c:pt>
              </c:numCache>
            </c:numRef>
          </c:val>
        </c:ser>
        <c:firstSliceAng val="0"/>
      </c:pieChart>
      <c:spPr>
        <a:noFill/>
        <a:ln w="25398">
          <a:noFill/>
        </a:ln>
      </c:spPr>
    </c:plotArea>
    <c:legend>
      <c:legendPos val="t"/>
    </c:legend>
    <c:plotVisOnly val="1"/>
    <c:dispBlanksAs val="zero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9.Хдожественно-эстетическое развитие, ноябрь 2019 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9.Хдожественно-эстетическое развитие, ноябрь 2018 г.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53</c:v>
                </c:pt>
                <c:pt idx="1">
                  <c:v>45</c:v>
                </c:pt>
                <c:pt idx="2">
                  <c:v>2</c:v>
                </c:pt>
              </c:numCache>
            </c:numRef>
          </c:val>
        </c:ser>
        <c:firstSliceAng val="0"/>
      </c:pieChart>
      <c:spPr>
        <a:noFill/>
        <a:ln w="25393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1001-B79B-4F0B-8468-B89B4BE6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2020-05-18T15:08:00Z</cp:lastPrinted>
  <dcterms:created xsi:type="dcterms:W3CDTF">2021-01-25T11:55:00Z</dcterms:created>
  <dcterms:modified xsi:type="dcterms:W3CDTF">2021-01-30T23:43:00Z</dcterms:modified>
</cp:coreProperties>
</file>